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000" w:type="dxa"/>
        <w:tblCellSpacing w:w="0" w:type="dxa"/>
        <w:shd w:val="clear" w:color="auto" w:fill="FFFFFF"/>
        <w:tblCellMar>
          <w:left w:w="0" w:type="dxa"/>
          <w:right w:w="0" w:type="dxa"/>
        </w:tblCellMar>
        <w:tblLook w:val="04A0" w:firstRow="1" w:lastRow="0" w:firstColumn="1" w:lastColumn="0" w:noHBand="0" w:noVBand="1"/>
      </w:tblPr>
      <w:tblGrid>
        <w:gridCol w:w="13000"/>
      </w:tblGrid>
      <w:tr w:rsidR="007E0FA1" w:rsidRPr="007E0FA1" w14:paraId="03E4B108" w14:textId="77777777" w:rsidTr="007E0FA1">
        <w:trPr>
          <w:tblCellSpacing w:w="0" w:type="dxa"/>
        </w:trPr>
        <w:tc>
          <w:tcPr>
            <w:tcW w:w="5000" w:type="pct"/>
            <w:shd w:val="clear" w:color="auto" w:fill="FFFFFF"/>
            <w:vAlign w:val="center"/>
            <w:hideMark/>
          </w:tcPr>
          <w:p w14:paraId="62201579" w14:textId="77777777" w:rsidR="007E0FA1" w:rsidRPr="007E0FA1" w:rsidRDefault="007E0FA1" w:rsidP="001733C6">
            <w:pPr>
              <w:jc w:val="center"/>
              <w:rPr>
                <w:rFonts w:ascii="Arial" w:eastAsia="Times New Roman" w:hAnsi="Arial" w:cs="Arial"/>
                <w:color w:val="222222"/>
                <w:sz w:val="20"/>
                <w:szCs w:val="20"/>
                <w:lang w:eastAsia="en-US"/>
              </w:rPr>
            </w:pPr>
            <w:r w:rsidRPr="007E0FA1">
              <w:rPr>
                <w:rFonts w:ascii="Verdana" w:eastAsia="Times New Roman" w:hAnsi="Verdana" w:cs="Arial"/>
                <w:color w:val="222222"/>
                <w:sz w:val="20"/>
                <w:szCs w:val="20"/>
                <w:lang w:eastAsia="en-US"/>
              </w:rPr>
              <w:t>For Immediate Release</w:t>
            </w:r>
            <w:r w:rsidRPr="007E0FA1">
              <w:rPr>
                <w:rFonts w:ascii="Verdana" w:eastAsia="Times New Roman" w:hAnsi="Verdana" w:cs="Arial"/>
                <w:color w:val="222222"/>
                <w:sz w:val="20"/>
                <w:szCs w:val="20"/>
                <w:lang w:eastAsia="en-US"/>
              </w:rPr>
              <w:br/>
              <w:t>CACTE Newsletter November 5, 2011</w:t>
            </w:r>
            <w:r w:rsidRPr="007E0FA1">
              <w:rPr>
                <w:rFonts w:ascii="Verdana" w:eastAsia="Times New Roman" w:hAnsi="Verdana" w:cs="Arial"/>
                <w:color w:val="222222"/>
                <w:sz w:val="20"/>
                <w:szCs w:val="20"/>
                <w:lang w:eastAsia="en-US"/>
              </w:rPr>
              <w:br/>
              <w:t>Byline:  Diane Walker, CTE Coordinator, Antelope Valley Union HS District/AVROP</w:t>
            </w:r>
            <w:r w:rsidRPr="007E0FA1">
              <w:rPr>
                <w:rFonts w:ascii="Verdana" w:eastAsia="Times New Roman" w:hAnsi="Verdana" w:cs="Arial"/>
                <w:color w:val="222222"/>
                <w:sz w:val="20"/>
                <w:szCs w:val="20"/>
                <w:lang w:eastAsia="en-US"/>
              </w:rPr>
              <w:br/>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"tel:661.575.1025"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661.575.1025</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 </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"mailto:dwalker@avhsd.org"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dwalker@avhsd.org</w:t>
            </w:r>
            <w:r w:rsidRPr="007E0FA1">
              <w:rPr>
                <w:rFonts w:ascii="Verdana" w:eastAsia="Times New Roman" w:hAnsi="Verdana" w:cs="Arial"/>
                <w:color w:val="222222"/>
                <w:sz w:val="20"/>
                <w:szCs w:val="20"/>
                <w:lang w:eastAsia="en-US"/>
              </w:rPr>
              <w:fldChar w:fldCharType="end"/>
            </w:r>
            <w:bookmarkStart w:id="0" w:name="_GoBack"/>
            <w:bookmarkEnd w:id="0"/>
            <w:r w:rsidRPr="007E0FA1">
              <w:rPr>
                <w:rFonts w:ascii="Verdana" w:eastAsia="Times New Roman" w:hAnsi="Verdana" w:cs="Arial"/>
                <w:color w:val="222222"/>
                <w:sz w:val="20"/>
                <w:szCs w:val="20"/>
                <w:lang w:eastAsia="en-US"/>
              </w:rPr>
              <w:br/>
              <w:t>“CTE and the Common Core State Standards”</w:t>
            </w:r>
            <w:r w:rsidRPr="007E0FA1">
              <w:rPr>
                <w:rFonts w:ascii="Verdana" w:eastAsia="Times New Roman" w:hAnsi="Verdana" w:cs="Arial"/>
                <w:color w:val="222222"/>
                <w:sz w:val="20"/>
                <w:szCs w:val="20"/>
                <w:lang w:eastAsia="en-US"/>
              </w:rPr>
              <w:br/>
            </w:r>
          </w:p>
        </w:tc>
      </w:tr>
      <w:tr w:rsidR="007E0FA1" w:rsidRPr="007E0FA1" w14:paraId="7D0AF868" w14:textId="77777777" w:rsidTr="007E0FA1">
        <w:trPr>
          <w:tblCellSpacing w:w="0" w:type="dxa"/>
        </w:trPr>
        <w:tc>
          <w:tcPr>
            <w:tcW w:w="5000" w:type="pct"/>
            <w:shd w:val="clear" w:color="auto" w:fill="FFFFFF"/>
            <w:vAlign w:val="center"/>
            <w:hideMark/>
          </w:tcPr>
          <w:p w14:paraId="77682CDC" w14:textId="77777777" w:rsidR="007E0FA1" w:rsidRPr="007E0FA1" w:rsidRDefault="007E0FA1" w:rsidP="007E0FA1">
            <w:pPr>
              <w:rPr>
                <w:rFonts w:ascii="Arial" w:eastAsia="Times New Roman" w:hAnsi="Arial" w:cs="Arial"/>
                <w:color w:val="222222"/>
                <w:sz w:val="20"/>
                <w:szCs w:val="20"/>
                <w:lang w:eastAsia="en-US"/>
              </w:rPr>
            </w:pPr>
            <w:r w:rsidRPr="007E0FA1">
              <w:rPr>
                <w:rFonts w:ascii="Verdana" w:eastAsia="Times New Roman" w:hAnsi="Verdana" w:cs="Arial"/>
                <w:b/>
                <w:bCs/>
                <w:i/>
                <w:iCs/>
                <w:color w:val="222222"/>
                <w:sz w:val="20"/>
                <w:szCs w:val="20"/>
                <w:lang w:eastAsia="en-US"/>
              </w:rPr>
              <w:t>“What’s the similarity between a cubed apple and a round one?  The common core. . . .” </w:t>
            </w:r>
            <w:r w:rsidRPr="007E0FA1">
              <w:rPr>
                <w:rFonts w:ascii="Verdana" w:eastAsia="Times New Roman" w:hAnsi="Verdana" w:cs="Arial"/>
                <w:b/>
                <w:bCs/>
                <w:i/>
                <w:iCs/>
                <w:color w:val="222222"/>
                <w:sz w:val="20"/>
                <w:szCs w:val="20"/>
                <w:lang w:eastAsia="en-US"/>
              </w:rPr>
              <w:br/>
              <w:t>– Bernie Trilling</w:t>
            </w:r>
            <w:r w:rsidRPr="007E0FA1">
              <w:rPr>
                <w:rFonts w:ascii="Verdana" w:eastAsia="Times New Roman" w:hAnsi="Verdana" w:cs="Arial"/>
                <w:color w:val="222222"/>
                <w:sz w:val="20"/>
                <w:szCs w:val="20"/>
                <w:lang w:eastAsia="en-US"/>
              </w:rPr>
              <w:br/>
            </w:r>
            <w:r w:rsidRPr="007E0FA1">
              <w:rPr>
                <w:rFonts w:ascii="Verdana" w:eastAsia="Times New Roman" w:hAnsi="Verdana" w:cs="Arial"/>
                <w:color w:val="222222"/>
                <w:sz w:val="20"/>
                <w:szCs w:val="20"/>
                <w:lang w:eastAsia="en-US"/>
              </w:rPr>
              <w:br/>
              <w:t>All kidding aside, the Common Core State Standards are the subject of considerable attention among instructional leaders and teachers across the United States.  Just what are these standards, and how did they come to be?  What is CTE’s role with respect to the new standards?  Where do we go from here?  These are just a few of the many questions to be answered regarding the Common Core State Standards.</w:t>
            </w:r>
            <w:r w:rsidRPr="007E0FA1">
              <w:rPr>
                <w:rFonts w:ascii="Verdana" w:eastAsia="Times New Roman" w:hAnsi="Verdana" w:cs="Arial"/>
                <w:color w:val="222222"/>
                <w:sz w:val="20"/>
                <w:szCs w:val="20"/>
                <w:lang w:eastAsia="en-US"/>
              </w:rPr>
              <w:br/>
            </w:r>
            <w:r w:rsidRPr="007E0FA1">
              <w:rPr>
                <w:rFonts w:ascii="Verdana" w:eastAsia="Times New Roman" w:hAnsi="Verdana" w:cs="Arial"/>
                <w:color w:val="222222"/>
                <w:sz w:val="20"/>
                <w:szCs w:val="20"/>
                <w:lang w:eastAsia="en-US"/>
              </w:rPr>
              <w:br/>
            </w:r>
            <w:r w:rsidRPr="007E0FA1">
              <w:rPr>
                <w:rFonts w:ascii="Verdana" w:eastAsia="Times New Roman" w:hAnsi="Verdana" w:cs="Arial"/>
                <w:b/>
                <w:bCs/>
                <w:color w:val="222222"/>
                <w:sz w:val="20"/>
                <w:szCs w:val="20"/>
                <w:lang w:eastAsia="en-US"/>
              </w:rPr>
              <w:t>What are the Common Core State Standards and How Did They Come to Be?</w:t>
            </w:r>
            <w:r w:rsidRPr="007E0FA1">
              <w:rPr>
                <w:rFonts w:ascii="Verdana" w:eastAsia="Times New Roman" w:hAnsi="Verdana" w:cs="Arial"/>
                <w:color w:val="222222"/>
                <w:sz w:val="20"/>
                <w:szCs w:val="20"/>
                <w:lang w:eastAsia="en-US"/>
              </w:rPr>
              <w:br/>
              <w:t>The Council of Chief State School Officers and the National Governors Association agreed in 2009 as part of the Race to the Top federal funding efforts to develop a set of national standards which would prepare all students for college and career success; the resulting College and Career Readiness standards led to the Common Core State Standards (CCSS), developed collaboratively by groups of content experts, educators, and other stakeholders, encompassing standards for English Language Arts/Literacy in History, Science and Technical Subjects, and for Mathematics for grades K through 12. The </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"http://acte.informz.net/z/cjUucD9taT0xODk1NjEzJnA9MSZ1PTc3MTY1NzIwNiZsaT05MTY2OTE0/index.html"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internationally-benchmarked standards</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 have since been adopted by forty-eight states, two territories, and the District of Columbia. California’s Academic Content Standards Commission reviewed the proposed standards in the summer of 2010, supplemented the standards by approximately eight percent (primarily in the math content area), and recommended adoption of the standards, as amended, by the State Board of Education (SBE); the SBE unanimously adopted the </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"http://acte.informz.net/z/cjUucD9taT0xODk1NjEzJnA9MSZ1PTc3MTY1NzIwNiZsaT05MTY2OTE1/index.html"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standards</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 on August 2, 2010.</w:t>
            </w:r>
            <w:r w:rsidRPr="007E0FA1">
              <w:rPr>
                <w:rFonts w:ascii="Verdana" w:eastAsia="Times New Roman" w:hAnsi="Verdana" w:cs="Arial"/>
                <w:color w:val="222222"/>
                <w:sz w:val="20"/>
                <w:szCs w:val="20"/>
                <w:lang w:eastAsia="en-US"/>
              </w:rPr>
              <w:br/>
            </w:r>
            <w:r w:rsidRPr="007E0FA1">
              <w:rPr>
                <w:rFonts w:ascii="Verdana" w:eastAsia="Times New Roman" w:hAnsi="Verdana" w:cs="Arial"/>
                <w:color w:val="222222"/>
                <w:sz w:val="20"/>
                <w:szCs w:val="20"/>
                <w:lang w:eastAsia="en-US"/>
              </w:rPr>
              <w:br/>
              <w:t>As the CCSS involve only English/literacy and math standards, one question on the lips of educators is what will happen with teaching and assessment of other general education/core academic subject areas.  California, as one of a group of twenty participating states, is also working with the National Research Council (NRC), the National Science Teachers’ Association (NSTA), the American Association for the Advancement of Science (AAAS), and Achieve at the national level on the Next Generation Science Standards to follow from the NRC’s science framework for K-12 which was published in July of 2011; </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"http://acte.informz.net/z/cjUucD9taT0xODk1NjEzJnA9MSZ1PTc3MTY1NzIwNiZsaT05MTY2OTE2/index.html"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the standards</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 are anticipated to be finished by the end of 2012, and then could be rolled out upon approval by the states shortly thereafter.  Legislation approved by Governor Brown (SB300 Hancock) requires new science standards to be written, submitted and approved or rejected by July of 2013.  </w:t>
            </w:r>
            <w:r w:rsidRPr="007E0FA1">
              <w:rPr>
                <w:rFonts w:ascii="Verdana" w:eastAsia="Times New Roman" w:hAnsi="Verdana" w:cs="Arial"/>
                <w:color w:val="222222"/>
                <w:sz w:val="20"/>
                <w:szCs w:val="20"/>
                <w:lang w:eastAsia="en-US"/>
              </w:rPr>
              <w:br/>
            </w:r>
            <w:r w:rsidRPr="007E0FA1">
              <w:rPr>
                <w:rFonts w:ascii="Verdana" w:eastAsia="Times New Roman" w:hAnsi="Verdana" w:cs="Arial"/>
                <w:color w:val="222222"/>
                <w:sz w:val="20"/>
                <w:szCs w:val="20"/>
                <w:lang w:eastAsia="en-US"/>
              </w:rPr>
              <w:br/>
              <w:t>Conversely, the 2010 </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"http://acte.informz.net/z/cjUucD9taT0xODk1NjEzJnA9MSZ1PTc3MTY1NzIwNiZsaT05MTY2OTE3/index.html"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revised national standards</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 by the National Council of Social Studies are not part of the CCSS, nor is there any current plan to add </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"http://acte.informz.net/z/cjUucD9taT0xODk1NjEzJnA9MSZ1PTc3MTY1NzIwNiZsaT05MTY2OTE4/index.html"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social science standards</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 to the CCSS; while history/social science was originally part of SB300, it was removed in late August of 2011 before approval, so it remains to be seen what will happen with this section of the existing California standards.</w:t>
            </w:r>
            <w:r w:rsidRPr="007E0FA1">
              <w:rPr>
                <w:rFonts w:ascii="Verdana" w:eastAsia="Times New Roman" w:hAnsi="Verdana" w:cs="Arial"/>
                <w:color w:val="222222"/>
                <w:sz w:val="20"/>
                <w:szCs w:val="20"/>
                <w:lang w:eastAsia="en-US"/>
              </w:rPr>
              <w:br/>
            </w:r>
            <w:r w:rsidRPr="007E0FA1">
              <w:rPr>
                <w:rFonts w:ascii="Verdana" w:eastAsia="Times New Roman" w:hAnsi="Verdana" w:cs="Arial"/>
                <w:color w:val="222222"/>
                <w:sz w:val="20"/>
                <w:szCs w:val="20"/>
                <w:lang w:eastAsia="en-US"/>
              </w:rPr>
              <w:lastRenderedPageBreak/>
              <w:br/>
            </w:r>
            <w:r w:rsidRPr="007E0FA1">
              <w:rPr>
                <w:rFonts w:ascii="Verdana" w:eastAsia="Times New Roman" w:hAnsi="Verdana" w:cs="Arial"/>
                <w:b/>
                <w:bCs/>
                <w:color w:val="222222"/>
                <w:sz w:val="20"/>
                <w:szCs w:val="20"/>
                <w:lang w:eastAsia="en-US"/>
              </w:rPr>
              <w:t>What is CTE’s Role In the CCSS?</w:t>
            </w:r>
            <w:r w:rsidRPr="007E0FA1">
              <w:rPr>
                <w:rFonts w:ascii="Verdana" w:eastAsia="Times New Roman" w:hAnsi="Verdana" w:cs="Arial"/>
                <w:color w:val="222222"/>
                <w:sz w:val="20"/>
                <w:szCs w:val="20"/>
                <w:lang w:eastAsia="en-US"/>
              </w:rPr>
              <w:br/>
              <w:t>Particularly interesting for CTE teachers and administrators are the embedded concept of career readiness in the CCSS English/literacy anchor standards, and application-based performance tasks for both English/literacy and math.  One way that the career readiness focus will be implemented is in the escalating use of reading and writing with informational text over the grade spans, beginning at 50% in fourth grade, and progressing up to 70% at the twelfth grade level. Examples of informational text include technical manuals, advertisements, speeches, and other non-fiction publications such as those routinely used in CTE programs. Additionally, the use of digital media skills will be incorporated within the writing strand of the English/literacy standards. The </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"http://acte.informz.net/z/cjUucD9taT0xODk1NjEzJnA9MSZ1PTc3MTY1NzIwNiZsaT05MTY2OTE5/index.html"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standards</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 also contemplate the use of increasing levels of text complexity and depth of knowledge.  </w:t>
            </w:r>
            <w:r w:rsidRPr="007E0FA1">
              <w:rPr>
                <w:rFonts w:ascii="Verdana" w:eastAsia="Times New Roman" w:hAnsi="Verdana" w:cs="Arial"/>
                <w:color w:val="222222"/>
                <w:sz w:val="20"/>
                <w:szCs w:val="20"/>
                <w:lang w:eastAsia="en-US"/>
              </w:rPr>
              <w:br/>
            </w:r>
            <w:r w:rsidRPr="007E0FA1">
              <w:rPr>
                <w:rFonts w:ascii="Verdana" w:eastAsia="Times New Roman" w:hAnsi="Verdana" w:cs="Arial"/>
                <w:color w:val="222222"/>
                <w:sz w:val="20"/>
                <w:szCs w:val="20"/>
                <w:lang w:eastAsia="en-US"/>
              </w:rPr>
              <w:br/>
              <w:t>Reading only a few examples of the many</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"http://acte.informz.net/z/cjUucD9taT0xODk1NjEzJnA9MSZ1PTc3MTY1NzIwNiZsaT05MTY2OTIw/index.html"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 sample performance tasks</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 related to the informational texts shows how CTE can be a key component.  </w:t>
            </w:r>
          </w:p>
          <w:tbl>
            <w:tblPr>
              <w:tblW w:w="13000" w:type="dxa"/>
              <w:tblCellSpacing w:w="0" w:type="dxa"/>
              <w:tblCellMar>
                <w:left w:w="0" w:type="dxa"/>
                <w:right w:w="0" w:type="dxa"/>
              </w:tblCellMar>
              <w:tblLook w:val="04A0" w:firstRow="1" w:lastRow="0" w:firstColumn="1" w:lastColumn="0" w:noHBand="0" w:noVBand="1"/>
            </w:tblPr>
            <w:tblGrid>
              <w:gridCol w:w="13000"/>
            </w:tblGrid>
            <w:tr w:rsidR="007E0FA1" w:rsidRPr="007E0FA1" w14:paraId="13FD7BF8" w14:textId="77777777">
              <w:trPr>
                <w:tblCellSpacing w:w="0" w:type="dxa"/>
              </w:trPr>
              <w:tc>
                <w:tcPr>
                  <w:tcW w:w="5000" w:type="pct"/>
                  <w:vAlign w:val="center"/>
                  <w:hideMark/>
                </w:tcPr>
                <w:p w14:paraId="728DF386" w14:textId="77777777" w:rsidR="007E0FA1" w:rsidRPr="007E0FA1" w:rsidRDefault="007E0FA1" w:rsidP="007E0FA1">
                  <w:pPr>
                    <w:numPr>
                      <w:ilvl w:val="0"/>
                      <w:numId w:val="1"/>
                    </w:numPr>
                    <w:spacing w:before="100" w:beforeAutospacing="1" w:after="100" w:afterAutospacing="1"/>
                    <w:ind w:left="945"/>
                    <w:rPr>
                      <w:rFonts w:ascii="Arial" w:eastAsia="Times New Roman" w:hAnsi="Arial" w:cs="Arial"/>
                      <w:sz w:val="20"/>
                      <w:szCs w:val="20"/>
                      <w:lang w:eastAsia="en-US"/>
                    </w:rPr>
                  </w:pPr>
                  <w:r w:rsidRPr="007E0FA1">
                    <w:rPr>
                      <w:rFonts w:ascii="Verdana" w:eastAsia="Times New Roman" w:hAnsi="Verdana" w:cs="Arial"/>
                      <w:sz w:val="20"/>
                      <w:szCs w:val="20"/>
                      <w:lang w:eastAsia="en-US"/>
                    </w:rPr>
                    <w:t>For kindergarten/grade one: “After listening to Gail Gibbons’</w:t>
                  </w:r>
                  <w:r w:rsidRPr="007E0FA1">
                    <w:rPr>
                      <w:rFonts w:ascii="Verdana" w:eastAsia="Times New Roman" w:hAnsi="Verdana" w:cs="Arial"/>
                      <w:i/>
                      <w:iCs/>
                      <w:sz w:val="20"/>
                      <w:szCs w:val="20"/>
                      <w:lang w:eastAsia="en-US"/>
                    </w:rPr>
                    <w:t> Fire!  Fire!, </w:t>
                  </w:r>
                  <w:r w:rsidRPr="007E0FA1">
                    <w:rPr>
                      <w:rFonts w:ascii="Verdana" w:eastAsia="Times New Roman" w:hAnsi="Verdana" w:cs="Arial"/>
                      <w:sz w:val="20"/>
                      <w:szCs w:val="20"/>
                      <w:lang w:eastAsia="en-US"/>
                    </w:rPr>
                    <w:t>students ask questions about how firefighters respond to a fire and answer using key details from the text.”</w:t>
                  </w:r>
                </w:p>
                <w:p w14:paraId="4AC44268" w14:textId="77777777" w:rsidR="007E0FA1" w:rsidRPr="007E0FA1" w:rsidRDefault="007E0FA1" w:rsidP="007E0FA1">
                  <w:pPr>
                    <w:numPr>
                      <w:ilvl w:val="0"/>
                      <w:numId w:val="1"/>
                    </w:numPr>
                    <w:spacing w:before="100" w:beforeAutospacing="1" w:after="100" w:afterAutospacing="1"/>
                    <w:ind w:left="945"/>
                    <w:rPr>
                      <w:rFonts w:ascii="Arial" w:eastAsia="Times New Roman" w:hAnsi="Arial" w:cs="Arial"/>
                      <w:sz w:val="20"/>
                      <w:szCs w:val="20"/>
                      <w:lang w:eastAsia="en-US"/>
                    </w:rPr>
                  </w:pPr>
                  <w:r w:rsidRPr="007E0FA1">
                    <w:rPr>
                      <w:rFonts w:ascii="Verdana" w:eastAsia="Times New Roman" w:hAnsi="Verdana" w:cs="Arial"/>
                      <w:sz w:val="20"/>
                      <w:szCs w:val="20"/>
                      <w:lang w:eastAsia="en-US"/>
                    </w:rPr>
                    <w:t>For grades 6-8: “Students integrate the quantitative or technical information expressed in the text of David Macaulay’s Cathedral:</w:t>
                  </w:r>
                  <w:r w:rsidRPr="007E0FA1">
                    <w:rPr>
                      <w:rFonts w:ascii="Verdana" w:eastAsia="Times New Roman" w:hAnsi="Verdana" w:cs="Arial"/>
                      <w:i/>
                      <w:iCs/>
                      <w:sz w:val="20"/>
                      <w:szCs w:val="20"/>
                      <w:lang w:eastAsia="en-US"/>
                    </w:rPr>
                    <w:t> The Story of Its Construction </w:t>
                  </w:r>
                  <w:r w:rsidRPr="007E0FA1">
                    <w:rPr>
                      <w:rFonts w:ascii="Verdana" w:eastAsia="Times New Roman" w:hAnsi="Verdana" w:cs="Arial"/>
                      <w:sz w:val="20"/>
                      <w:szCs w:val="20"/>
                      <w:lang w:eastAsia="en-US"/>
                    </w:rPr>
                    <w:t>with the information conveyed by the diagrams and models Macaulay provides, developing a deeper understanding of Gothic architecture.”  </w:t>
                  </w:r>
                </w:p>
                <w:p w14:paraId="66346AD1" w14:textId="77777777" w:rsidR="007E0FA1" w:rsidRPr="007E0FA1" w:rsidRDefault="007E0FA1" w:rsidP="007E0FA1">
                  <w:pPr>
                    <w:numPr>
                      <w:ilvl w:val="0"/>
                      <w:numId w:val="1"/>
                    </w:numPr>
                    <w:spacing w:before="100" w:beforeAutospacing="1" w:after="100" w:afterAutospacing="1"/>
                    <w:ind w:left="945"/>
                    <w:rPr>
                      <w:rFonts w:ascii="Arial" w:eastAsia="Times New Roman" w:hAnsi="Arial" w:cs="Arial"/>
                      <w:sz w:val="20"/>
                      <w:szCs w:val="20"/>
                      <w:lang w:eastAsia="en-US"/>
                    </w:rPr>
                  </w:pPr>
                  <w:r w:rsidRPr="007E0FA1">
                    <w:rPr>
                      <w:rFonts w:ascii="Verdana" w:eastAsia="Times New Roman" w:hAnsi="Verdana" w:cs="Arial"/>
                      <w:sz w:val="20"/>
                      <w:szCs w:val="20"/>
                      <w:lang w:eastAsia="en-US"/>
                    </w:rPr>
                    <w:t>Finally, for grades 11-12: “Students integrate the information provided by Mary C. Daly, vice president at the Federal Reserve Bank of San Francisco, with the data presented visually in the</w:t>
                  </w:r>
                  <w:r w:rsidRPr="007E0FA1">
                    <w:rPr>
                      <w:rFonts w:ascii="Verdana" w:eastAsia="Times New Roman" w:hAnsi="Verdana" w:cs="Arial"/>
                      <w:i/>
                      <w:iCs/>
                      <w:sz w:val="20"/>
                      <w:szCs w:val="20"/>
                      <w:lang w:eastAsia="en-US"/>
                    </w:rPr>
                    <w:t> FedViews </w:t>
                  </w:r>
                  <w:r w:rsidRPr="007E0FA1">
                    <w:rPr>
                      <w:rFonts w:ascii="Verdana" w:eastAsia="Times New Roman" w:hAnsi="Verdana" w:cs="Arial"/>
                      <w:sz w:val="20"/>
                      <w:szCs w:val="20"/>
                      <w:lang w:eastAsia="en-US"/>
                    </w:rPr>
                    <w:t>report.  In their analysis of these sources of information presented in diverse formats, students frame and address a question or solve a problem raised by their evaluation of the evidence.”</w:t>
                  </w:r>
                </w:p>
                <w:p w14:paraId="03F2C85E" w14:textId="77777777" w:rsidR="007E0FA1" w:rsidRPr="007E0FA1" w:rsidRDefault="007E0FA1" w:rsidP="007E0FA1">
                  <w:pPr>
                    <w:rPr>
                      <w:rFonts w:ascii="Arial" w:eastAsia="Times New Roman" w:hAnsi="Arial" w:cs="Arial"/>
                      <w:sz w:val="20"/>
                      <w:szCs w:val="20"/>
                      <w:lang w:eastAsia="en-US"/>
                    </w:rPr>
                  </w:pPr>
                  <w:r w:rsidRPr="007E0FA1">
                    <w:rPr>
                      <w:rFonts w:ascii="Arial" w:eastAsia="Times New Roman" w:hAnsi="Arial" w:cs="Arial"/>
                      <w:sz w:val="20"/>
                      <w:szCs w:val="20"/>
                      <w:lang w:eastAsia="en-US"/>
                    </w:rPr>
                    <w:t> </w:t>
                  </w:r>
                </w:p>
              </w:tc>
            </w:tr>
          </w:tbl>
          <w:p w14:paraId="7E8986F2" w14:textId="77777777" w:rsidR="007E0FA1" w:rsidRPr="007E0FA1" w:rsidRDefault="007E0FA1" w:rsidP="007E0FA1">
            <w:pPr>
              <w:rPr>
                <w:rFonts w:ascii="Arial" w:eastAsia="Times New Roman" w:hAnsi="Arial" w:cs="Arial"/>
                <w:color w:val="222222"/>
                <w:sz w:val="20"/>
                <w:szCs w:val="20"/>
                <w:lang w:eastAsia="en-US"/>
              </w:rPr>
            </w:pPr>
            <w:r w:rsidRPr="007E0FA1">
              <w:rPr>
                <w:rFonts w:ascii="Verdana" w:eastAsia="Times New Roman" w:hAnsi="Verdana" w:cs="Arial"/>
                <w:color w:val="222222"/>
                <w:sz w:val="20"/>
                <w:szCs w:val="20"/>
                <w:lang w:eastAsia="en-US"/>
              </w:rPr>
              <w:t>In the mathematics area, eight standards of mathematical practice will emphasize deeper reasoning and understanding through habits of mind such as contextualizing and de-contextualizing, sense-making, and modeling through application using real-world examples, among others. After establishing solid foundational skills in the lower grades, high school math will feature a </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"http://acte.informz.net/z/cjUucD9taT0xODk1NjEzJnA9MSZ1PTc3MTY1NzIwNiZsaT05MTY2OTIx/index.html"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more conceptual approach</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 to math subjects. </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"http://acte.informz.net/z/cjUucD9taT0xODk1NjEzJnA9MSZ1PTc3MTY1NzIwNiZsaT05MTY2OTIy/index.html"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Sample constructed response assessments</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 being developed show a relationship to CTE content, such as: “The All City Recreation Committee plans to put a fence around a playground area in All City Park. The solid line in the diagram above outlines the sections in the park that the committee wants to surround with a fence.  Information about fencing prices is shown below: Fence-All Company fencing $.30 per foot; Acme Fence Company fencing $.32 per foot, orders totaling $500 or more will receive a 10% discount.  A. How much fencing will the committee need to buy?  Show your work.  B.  Based upon the information above, determine which fencing company offers the best deal for this project.  Explain your reasoning and show all your work.”</w:t>
            </w:r>
            <w:r w:rsidRPr="007E0FA1">
              <w:rPr>
                <w:rFonts w:ascii="Verdana" w:eastAsia="Times New Roman" w:hAnsi="Verdana" w:cs="Arial"/>
                <w:color w:val="222222"/>
                <w:sz w:val="20"/>
                <w:szCs w:val="20"/>
                <w:lang w:eastAsia="en-US"/>
              </w:rPr>
              <w:br/>
            </w:r>
            <w:r w:rsidRPr="007E0FA1">
              <w:rPr>
                <w:rFonts w:ascii="Verdana" w:eastAsia="Times New Roman" w:hAnsi="Verdana" w:cs="Arial"/>
                <w:color w:val="222222"/>
                <w:sz w:val="20"/>
                <w:szCs w:val="20"/>
                <w:lang w:eastAsia="en-US"/>
              </w:rPr>
              <w:br/>
            </w:r>
            <w:r w:rsidRPr="007E0FA1">
              <w:rPr>
                <w:rFonts w:ascii="Verdana" w:eastAsia="Times New Roman" w:hAnsi="Verdana" w:cs="Arial"/>
                <w:b/>
                <w:bCs/>
                <w:color w:val="222222"/>
                <w:sz w:val="20"/>
                <w:szCs w:val="20"/>
                <w:lang w:eastAsia="en-US"/>
              </w:rPr>
              <w:t>Where Do We Go from Here?</w:t>
            </w:r>
            <w:r w:rsidRPr="007E0FA1">
              <w:rPr>
                <w:rFonts w:ascii="Verdana" w:eastAsia="Times New Roman" w:hAnsi="Verdana" w:cs="Arial"/>
                <w:color w:val="222222"/>
                <w:sz w:val="20"/>
                <w:szCs w:val="20"/>
                <w:lang w:eastAsia="en-US"/>
              </w:rPr>
              <w:br/>
              <w:t>The CCSS are currently scheduled to be implemented across the US during the upcoming two years. California is a governing member of the Smarter Balanced Assessment Consortium (SBAC), which is one of two consortia nationwide designing assessments of the English/literacy and math standards; mandatory, summative assessments will be administered during the last twelve weeks of each school year in grades 3 through 8, and in high school, using computer-adaptive technology and performance tasks. Optional interim assessments will be available for use at locally determined intervals.</w:t>
            </w:r>
            <w:r w:rsidR="001733C6">
              <w:rPr>
                <w:rFonts w:ascii="Verdana" w:eastAsia="Times New Roman" w:hAnsi="Verdana" w:cs="Arial"/>
                <w:color w:val="222222"/>
                <w:sz w:val="20"/>
                <w:szCs w:val="20"/>
                <w:lang w:eastAsia="en-US"/>
              </w:rPr>
              <w:t xml:space="preserve"> </w:t>
            </w:r>
            <w:r w:rsidRPr="007E0FA1">
              <w:rPr>
                <w:rFonts w:ascii="Verdana" w:eastAsia="Times New Roman" w:hAnsi="Verdana" w:cs="Arial"/>
                <w:color w:val="222222"/>
                <w:sz w:val="20"/>
                <w:szCs w:val="20"/>
                <w:lang w:eastAsia="en-US"/>
              </w:rPr>
              <w:t>The </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"http://acte.informz.net/z/cjUucD9taT0xODk1NjEzJnA9MSZ1PTc3MTY1NzIwNiZsaT05MTY2OTIz/index.html"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assessments</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 are currently scheduled to roll out in the 2014-2015 school year, after field testing in 2012-2013 and 2013-2014. It is not yet known specifically whether or how the assessments will replace the California Standards Tests or CAHSEE, however the subject is currently under discussion within the CDE and SBE; one option may be having a set “cut score” on the summative assessments which will denote students’ attainment of college and career readiness (Kathryn Edwards, LACOE CCSS Presentation 10/21/2011).</w:t>
            </w:r>
            <w:r w:rsidRPr="007E0FA1">
              <w:rPr>
                <w:rFonts w:ascii="Verdana" w:eastAsia="Times New Roman" w:hAnsi="Verdana" w:cs="Arial"/>
                <w:color w:val="222222"/>
                <w:sz w:val="20"/>
                <w:szCs w:val="20"/>
                <w:lang w:eastAsia="en-US"/>
              </w:rPr>
              <w:br/>
            </w:r>
            <w:r w:rsidRPr="007E0FA1">
              <w:rPr>
                <w:rFonts w:ascii="Verdana" w:eastAsia="Times New Roman" w:hAnsi="Verdana" w:cs="Arial"/>
                <w:color w:val="222222"/>
                <w:sz w:val="20"/>
                <w:szCs w:val="20"/>
                <w:lang w:eastAsia="en-US"/>
              </w:rPr>
              <w:br/>
              <w:t>In an effort parallel to the CCSS, the National Association of State Directors of CTE began work with CTE stakeholders from business, industry and education, including ACTE, to promulgate the common core of technical standards in 2009, along with a new strategic vision for CTE. The National Career Clusters Knowledge and Skills Statements from the early 2000’s were re-validated and revised, with the results released in June of 2012 as the basis for the Common Career Technical Core (CCTC). The CCTC framework has three levels: Standards for Career-Ready Practices; Career Cluster Anchor Standards; and </w:t>
            </w:r>
            <w:r w:rsidRPr="007E0FA1">
              <w:rPr>
                <w:rFonts w:ascii="Verdana" w:eastAsia="Times New Roman" w:hAnsi="Verdana" w:cs="Arial"/>
                <w:color w:val="222222"/>
                <w:sz w:val="20"/>
                <w:szCs w:val="20"/>
                <w:lang w:eastAsia="en-US"/>
              </w:rPr>
              <w:fldChar w:fldCharType="begin"/>
            </w:r>
            <w:r w:rsidRPr="007E0FA1">
              <w:rPr>
                <w:rFonts w:ascii="Verdana" w:eastAsia="Times New Roman" w:hAnsi="Verdana" w:cs="Arial"/>
                <w:color w:val="222222"/>
                <w:sz w:val="20"/>
                <w:szCs w:val="20"/>
                <w:lang w:eastAsia="en-US"/>
              </w:rPr>
              <w:instrText xml:space="preserve"> HYPERLINK "http://acte.informz.net/z/cjUucD9taT0xODk1NjEzJnA9MSZ1PTc3MTY1NzIwNiZsaT05MTY2OTI0/index.html" \t "_blank" </w:instrText>
            </w:r>
            <w:r w:rsidRPr="007E0FA1">
              <w:rPr>
                <w:rFonts w:ascii="Verdana" w:eastAsia="Times New Roman" w:hAnsi="Verdana" w:cs="Arial"/>
                <w:color w:val="222222"/>
                <w:sz w:val="20"/>
                <w:szCs w:val="20"/>
                <w:lang w:eastAsia="en-US"/>
              </w:rPr>
              <w:fldChar w:fldCharType="separate"/>
            </w:r>
            <w:r w:rsidRPr="007E0FA1">
              <w:rPr>
                <w:rFonts w:ascii="Verdana" w:eastAsia="Times New Roman" w:hAnsi="Verdana" w:cs="Arial"/>
                <w:color w:val="1155CC"/>
                <w:sz w:val="20"/>
                <w:szCs w:val="20"/>
                <w:u w:val="single"/>
                <w:lang w:eastAsia="en-US"/>
              </w:rPr>
              <w:t>Career Pathway Anchor Standards</w:t>
            </w:r>
            <w:r w:rsidRPr="007E0FA1">
              <w:rPr>
                <w:rFonts w:ascii="Verdana" w:eastAsia="Times New Roman" w:hAnsi="Verdana" w:cs="Arial"/>
                <w:color w:val="222222"/>
                <w:sz w:val="20"/>
                <w:szCs w:val="20"/>
                <w:lang w:eastAsia="en-US"/>
              </w:rPr>
              <w:fldChar w:fldCharType="end"/>
            </w:r>
            <w:r w:rsidRPr="007E0FA1">
              <w:rPr>
                <w:rFonts w:ascii="Verdana" w:eastAsia="Times New Roman" w:hAnsi="Verdana" w:cs="Arial"/>
                <w:color w:val="222222"/>
                <w:sz w:val="20"/>
                <w:szCs w:val="20"/>
                <w:lang w:eastAsia="en-US"/>
              </w:rPr>
              <w:t>.</w:t>
            </w:r>
            <w:r w:rsidRPr="007E0FA1">
              <w:rPr>
                <w:rFonts w:ascii="Verdana" w:eastAsia="Times New Roman" w:hAnsi="Verdana" w:cs="Arial"/>
                <w:color w:val="222222"/>
                <w:sz w:val="20"/>
                <w:szCs w:val="20"/>
                <w:lang w:eastAsia="en-US"/>
              </w:rPr>
              <w:br/>
            </w:r>
            <w:r w:rsidRPr="007E0FA1">
              <w:rPr>
                <w:rFonts w:ascii="Verdana" w:eastAsia="Times New Roman" w:hAnsi="Verdana" w:cs="Arial"/>
                <w:color w:val="222222"/>
                <w:sz w:val="20"/>
                <w:szCs w:val="20"/>
                <w:lang w:eastAsia="en-US"/>
              </w:rPr>
              <w:br/>
              <w:t>Consultants at the California Department of Education, along with other contributors’ input, have been in the process of revising and cross-walking California’s existing Model Curriculum Standards for CTE with the CCSS. The Common CTE Core Practices are being added as part of the current standards revision, consistent with the CCSS Standards of Math Practice. Further, the current Foundation Standards, which will in future be known as Industry Sector Anchor Standards, are being formatted and aligned as practicable with the CCSS English/literacy and math standards, and re-written in specific industry sector context. Additionally, the current Pathway Standards within the fifteen industry sectors will be revised, also in light of the 21st Century Skills and referencing the federal career clusters project. Capstone Standards leading to certification or licensure may be incorporated in pathways, as appropriate.  Writing teams met in November of 2011, with follow-up meetings and public comment thereafter (CDE/Solano COE Oct. 2011). Public comment hearings were recently held in Los Angeles and Sacramento, and on-line comments were also received. Additional revisions are underway, with it being anticipated that the standards will be submitted to the State Board of Education for approval in January of 2013. Finally, the CTE Frameworks will then be revised as necessary as a result of the MCS revisions. Unlike the core subject matter areas, which are prohibited from adopting new textbooks or frameworks until 2016, CTE is not part of the suspension and may adopt new materials (Beverly Campbell, CDE Standards Alignment Project Presentation, 3/4/2011). AB250, signed by Governor Brown on October 8, 2011, does contemplate providing bridge materials to implement the CCSS in core subjects in the interim.</w:t>
            </w:r>
            <w:r w:rsidRPr="007E0FA1">
              <w:rPr>
                <w:rFonts w:ascii="Verdana" w:eastAsia="Times New Roman" w:hAnsi="Verdana" w:cs="Arial"/>
                <w:color w:val="222222"/>
                <w:sz w:val="20"/>
                <w:szCs w:val="20"/>
                <w:lang w:eastAsia="en-US"/>
              </w:rPr>
              <w:br/>
            </w:r>
            <w:r w:rsidRPr="007E0FA1">
              <w:rPr>
                <w:rFonts w:ascii="Verdana" w:eastAsia="Times New Roman" w:hAnsi="Verdana" w:cs="Arial"/>
                <w:color w:val="222222"/>
                <w:sz w:val="20"/>
                <w:szCs w:val="20"/>
                <w:lang w:eastAsia="en-US"/>
              </w:rPr>
              <w:br/>
              <w:t>While many questions remain on the precise implementation of the CCSS and related assessments in California, one thing is clear: career-technical education can and should play a pivotal role in implementing the career readiness aspects and many performance tasks contained within the new standards and assessments. It behooves all CTE teachers and administrators to become familiar with the CCSS, and to work collaboratively with general education/core academic teachers in the implementation of the standards and assessments within their institutions.</w:t>
            </w:r>
          </w:p>
        </w:tc>
      </w:tr>
      <w:tr w:rsidR="007E0FA1" w:rsidRPr="007E0FA1" w14:paraId="01AC6B32" w14:textId="77777777" w:rsidTr="007E0FA1">
        <w:trPr>
          <w:tblCellSpacing w:w="0" w:type="dxa"/>
        </w:trPr>
        <w:tc>
          <w:tcPr>
            <w:tcW w:w="5000" w:type="pct"/>
            <w:shd w:val="clear" w:color="auto" w:fill="FFFFFF"/>
            <w:vAlign w:val="center"/>
            <w:hideMark/>
          </w:tcPr>
          <w:p w14:paraId="28E8AFC9" w14:textId="77777777" w:rsidR="007E0FA1" w:rsidRPr="007E0FA1" w:rsidRDefault="007E0FA1" w:rsidP="007E0FA1">
            <w:pPr>
              <w:rPr>
                <w:rFonts w:ascii="Arial" w:eastAsia="Times New Roman" w:hAnsi="Arial" w:cs="Arial"/>
                <w:color w:val="222222"/>
                <w:sz w:val="20"/>
                <w:szCs w:val="20"/>
                <w:lang w:eastAsia="en-US"/>
              </w:rPr>
            </w:pPr>
            <w:r w:rsidRPr="007E0FA1">
              <w:rPr>
                <w:rFonts w:ascii="Arial" w:eastAsia="Times New Roman" w:hAnsi="Arial" w:cs="Arial"/>
                <w:color w:val="222222"/>
                <w:sz w:val="20"/>
                <w:szCs w:val="20"/>
                <w:lang w:eastAsia="en-US"/>
              </w:rPr>
              <w:lastRenderedPageBreak/>
              <w:t> </w:t>
            </w:r>
          </w:p>
        </w:tc>
      </w:tr>
    </w:tbl>
    <w:p w14:paraId="4E9900FB" w14:textId="77777777" w:rsidR="00BF2B95" w:rsidRDefault="00BF2B95"/>
    <w:sectPr w:rsidR="00BF2B95" w:rsidSect="001733C6">
      <w:footerReference w:type="even" r:id="rId8"/>
      <w:footerReference w:type="default" r:id="rId9"/>
      <w:pgSz w:w="15840" w:h="12240" w:orient="landscape"/>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85BA3" w14:textId="77777777" w:rsidR="007E0FA1" w:rsidRDefault="007E0FA1" w:rsidP="007E0FA1">
      <w:r>
        <w:separator/>
      </w:r>
    </w:p>
  </w:endnote>
  <w:endnote w:type="continuationSeparator" w:id="0">
    <w:p w14:paraId="29773636" w14:textId="77777777" w:rsidR="007E0FA1" w:rsidRDefault="007E0FA1" w:rsidP="007E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35BC9" w14:textId="77777777" w:rsidR="007E0FA1" w:rsidRDefault="007E0FA1" w:rsidP="00FA6C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852C0D" w14:textId="77777777" w:rsidR="007E0FA1" w:rsidRDefault="007E0FA1" w:rsidP="007E0FA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2EDCD" w14:textId="77777777" w:rsidR="007E0FA1" w:rsidRDefault="007E0FA1" w:rsidP="00FA6C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733C6">
      <w:rPr>
        <w:rStyle w:val="PageNumber"/>
        <w:noProof/>
      </w:rPr>
      <w:t>1</w:t>
    </w:r>
    <w:r>
      <w:rPr>
        <w:rStyle w:val="PageNumber"/>
      </w:rPr>
      <w:fldChar w:fldCharType="end"/>
    </w:r>
  </w:p>
  <w:p w14:paraId="713994D5" w14:textId="77777777" w:rsidR="007E0FA1" w:rsidRDefault="007E0FA1" w:rsidP="007E0FA1">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77048" w14:textId="77777777" w:rsidR="007E0FA1" w:rsidRDefault="007E0FA1" w:rsidP="007E0FA1">
      <w:r>
        <w:separator/>
      </w:r>
    </w:p>
  </w:footnote>
  <w:footnote w:type="continuationSeparator" w:id="0">
    <w:p w14:paraId="2D7BACB9" w14:textId="77777777" w:rsidR="007E0FA1" w:rsidRDefault="007E0FA1" w:rsidP="007E0FA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D3FCA"/>
    <w:multiLevelType w:val="multilevel"/>
    <w:tmpl w:val="DB18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FA1"/>
    <w:rsid w:val="00071DF6"/>
    <w:rsid w:val="00133918"/>
    <w:rsid w:val="001733C6"/>
    <w:rsid w:val="002808D9"/>
    <w:rsid w:val="003D3187"/>
    <w:rsid w:val="00497B9B"/>
    <w:rsid w:val="004E0992"/>
    <w:rsid w:val="005A0488"/>
    <w:rsid w:val="00642FE4"/>
    <w:rsid w:val="006618B6"/>
    <w:rsid w:val="006707D7"/>
    <w:rsid w:val="007E0FA1"/>
    <w:rsid w:val="007E6D1D"/>
    <w:rsid w:val="009F6BF3"/>
    <w:rsid w:val="00A1264C"/>
    <w:rsid w:val="00B47724"/>
    <w:rsid w:val="00B874F1"/>
    <w:rsid w:val="00BF2B95"/>
    <w:rsid w:val="00C11A2D"/>
    <w:rsid w:val="00C35DA3"/>
    <w:rsid w:val="00CC7532"/>
    <w:rsid w:val="00D633BA"/>
    <w:rsid w:val="00D63DF6"/>
    <w:rsid w:val="00E43C99"/>
    <w:rsid w:val="00F96F91"/>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5476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E0FA1"/>
    <w:rPr>
      <w:color w:val="0000FF"/>
      <w:u w:val="single"/>
    </w:rPr>
  </w:style>
  <w:style w:type="character" w:customStyle="1" w:styleId="apple-converted-space">
    <w:name w:val="apple-converted-space"/>
    <w:basedOn w:val="DefaultParagraphFont"/>
    <w:rsid w:val="007E0FA1"/>
  </w:style>
  <w:style w:type="character" w:styleId="Strong">
    <w:name w:val="Strong"/>
    <w:basedOn w:val="DefaultParagraphFont"/>
    <w:uiPriority w:val="22"/>
    <w:qFormat/>
    <w:rsid w:val="007E0FA1"/>
    <w:rPr>
      <w:b/>
      <w:bCs/>
    </w:rPr>
  </w:style>
  <w:style w:type="character" w:styleId="Emphasis">
    <w:name w:val="Emphasis"/>
    <w:basedOn w:val="DefaultParagraphFont"/>
    <w:uiPriority w:val="20"/>
    <w:qFormat/>
    <w:rsid w:val="007E0FA1"/>
    <w:rPr>
      <w:i/>
      <w:iCs/>
    </w:rPr>
  </w:style>
  <w:style w:type="paragraph" w:styleId="Footer">
    <w:name w:val="footer"/>
    <w:basedOn w:val="Normal"/>
    <w:link w:val="FooterChar"/>
    <w:uiPriority w:val="99"/>
    <w:unhideWhenUsed/>
    <w:rsid w:val="007E0FA1"/>
    <w:pPr>
      <w:tabs>
        <w:tab w:val="center" w:pos="4320"/>
        <w:tab w:val="right" w:pos="8640"/>
      </w:tabs>
    </w:pPr>
  </w:style>
  <w:style w:type="character" w:customStyle="1" w:styleId="FooterChar">
    <w:name w:val="Footer Char"/>
    <w:basedOn w:val="DefaultParagraphFont"/>
    <w:link w:val="Footer"/>
    <w:uiPriority w:val="99"/>
    <w:rsid w:val="007E0FA1"/>
    <w:rPr>
      <w:sz w:val="24"/>
      <w:szCs w:val="24"/>
    </w:rPr>
  </w:style>
  <w:style w:type="character" w:styleId="PageNumber">
    <w:name w:val="page number"/>
    <w:basedOn w:val="DefaultParagraphFont"/>
    <w:uiPriority w:val="99"/>
    <w:semiHidden/>
    <w:unhideWhenUsed/>
    <w:rsid w:val="007E0FA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E0FA1"/>
    <w:rPr>
      <w:color w:val="0000FF"/>
      <w:u w:val="single"/>
    </w:rPr>
  </w:style>
  <w:style w:type="character" w:customStyle="1" w:styleId="apple-converted-space">
    <w:name w:val="apple-converted-space"/>
    <w:basedOn w:val="DefaultParagraphFont"/>
    <w:rsid w:val="007E0FA1"/>
  </w:style>
  <w:style w:type="character" w:styleId="Strong">
    <w:name w:val="Strong"/>
    <w:basedOn w:val="DefaultParagraphFont"/>
    <w:uiPriority w:val="22"/>
    <w:qFormat/>
    <w:rsid w:val="007E0FA1"/>
    <w:rPr>
      <w:b/>
      <w:bCs/>
    </w:rPr>
  </w:style>
  <w:style w:type="character" w:styleId="Emphasis">
    <w:name w:val="Emphasis"/>
    <w:basedOn w:val="DefaultParagraphFont"/>
    <w:uiPriority w:val="20"/>
    <w:qFormat/>
    <w:rsid w:val="007E0FA1"/>
    <w:rPr>
      <w:i/>
      <w:iCs/>
    </w:rPr>
  </w:style>
  <w:style w:type="paragraph" w:styleId="Footer">
    <w:name w:val="footer"/>
    <w:basedOn w:val="Normal"/>
    <w:link w:val="FooterChar"/>
    <w:uiPriority w:val="99"/>
    <w:unhideWhenUsed/>
    <w:rsid w:val="007E0FA1"/>
    <w:pPr>
      <w:tabs>
        <w:tab w:val="center" w:pos="4320"/>
        <w:tab w:val="right" w:pos="8640"/>
      </w:tabs>
    </w:pPr>
  </w:style>
  <w:style w:type="character" w:customStyle="1" w:styleId="FooterChar">
    <w:name w:val="Footer Char"/>
    <w:basedOn w:val="DefaultParagraphFont"/>
    <w:link w:val="Footer"/>
    <w:uiPriority w:val="99"/>
    <w:rsid w:val="007E0FA1"/>
    <w:rPr>
      <w:sz w:val="24"/>
      <w:szCs w:val="24"/>
    </w:rPr>
  </w:style>
  <w:style w:type="character" w:styleId="PageNumber">
    <w:name w:val="page number"/>
    <w:basedOn w:val="DefaultParagraphFont"/>
    <w:uiPriority w:val="99"/>
    <w:semiHidden/>
    <w:unhideWhenUsed/>
    <w:rsid w:val="007E0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93938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1769</Words>
  <Characters>10084</Characters>
  <Application>Microsoft Macintosh Word</Application>
  <DocSecurity>0</DocSecurity>
  <Lines>84</Lines>
  <Paragraphs>23</Paragraphs>
  <ScaleCrop>false</ScaleCrop>
  <Company>NMUSD</Company>
  <LinksUpToDate>false</LinksUpToDate>
  <CharactersWithSpaces>11830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Glyer</dc:creator>
  <cp:keywords/>
  <dc:description/>
  <cp:lastModifiedBy>Steven Glyer</cp:lastModifiedBy>
  <cp:revision>2</cp:revision>
  <cp:lastPrinted>2012-10-24T13:02:00Z</cp:lastPrinted>
  <dcterms:created xsi:type="dcterms:W3CDTF">2012-10-24T13:00:00Z</dcterms:created>
  <dcterms:modified xsi:type="dcterms:W3CDTF">2012-11-14T20:07:00Z</dcterms:modified>
</cp:coreProperties>
</file>